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99" w:rsidRDefault="00CC0199" w:rsidP="00CC0199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Минздрава России от 21.01.2022 № 15-2</w:t>
      </w:r>
      <w:proofErr w:type="gramStart"/>
      <w:r>
        <w:rPr>
          <w:rFonts w:ascii="Georgia" w:eastAsia="Times New Roman" w:hAnsi="Georgia"/>
        </w:rPr>
        <w:t>/И</w:t>
      </w:r>
      <w:proofErr w:type="gramEnd"/>
      <w:r>
        <w:rPr>
          <w:rFonts w:ascii="Georgia" w:eastAsia="Times New Roman" w:hAnsi="Georgia"/>
        </w:rPr>
        <w:t>/2-806</w:t>
      </w:r>
    </w:p>
    <w:p w:rsidR="00CC0199" w:rsidRDefault="00CC0199" w:rsidP="00CC0199">
      <w:pPr>
        <w:pStyle w:val="2"/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</w:rPr>
        <w:t>О направлении методических рекомендаций с разъяснениями по проведению иммунизации в соответствии с приказом</w:t>
      </w:r>
      <w:proofErr w:type="gramEnd"/>
      <w:r>
        <w:rPr>
          <w:rFonts w:ascii="Georgia" w:eastAsia="Times New Roman" w:hAnsi="Georgia"/>
        </w:rPr>
        <w:t xml:space="preserve"> Минздрава России от 06.12.2021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</w:r>
    </w:p>
    <w:p w:rsidR="00CC0199" w:rsidRDefault="00CC0199" w:rsidP="00CC0199">
      <w:pPr>
        <w:spacing w:after="223"/>
        <w:jc w:val="both"/>
      </w:pPr>
      <w:proofErr w:type="gramStart"/>
      <w:r>
        <w:rPr>
          <w:rFonts w:ascii="Georgia" w:hAnsi="Georgia"/>
        </w:rPr>
        <w:t xml:space="preserve">Министерство здравоохранения Российской Федерации направляет </w:t>
      </w:r>
      <w:hyperlink r:id="rId5" w:anchor="/document/99/728082347/XA00LTK2M0/" w:tgtFrame="_self" w:history="1">
        <w:r>
          <w:rPr>
            <w:rStyle w:val="a3"/>
            <w:rFonts w:ascii="Georgia" w:hAnsi="Georgia"/>
          </w:rPr>
          <w:t>методические рекомендации с разъяснениями по проведению иммунизации в соответствии с приказом Минздрава России от 06.12.2021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  </w:r>
      </w:hyperlink>
      <w:r>
        <w:rPr>
          <w:rFonts w:ascii="Georgia" w:hAnsi="Georgia"/>
        </w:rPr>
        <w:t>, подготовленные профильными главными внештатными специалистами Минздрава России при участии специалистов Научно-исследовательского института педиатрии и охраны здоровья детей ЦКБ РАН, ФГБУ "Детский научный</w:t>
      </w:r>
      <w:proofErr w:type="gramEnd"/>
      <w:r>
        <w:rPr>
          <w:rFonts w:ascii="Georgia" w:hAnsi="Georgia"/>
        </w:rPr>
        <w:t xml:space="preserve"> клинический центр инфекционных болезней" ФМБА России.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Просим довести указанные </w:t>
      </w:r>
      <w:hyperlink r:id="rId6" w:anchor="/document/99/728082347/XA00LTK2M0/" w:tgtFrame="_self" w:history="1">
        <w:r>
          <w:rPr>
            <w:rStyle w:val="a3"/>
            <w:rFonts w:ascii="Georgia" w:hAnsi="Georgia"/>
          </w:rPr>
          <w:t>методические рекомендации</w:t>
        </w:r>
      </w:hyperlink>
      <w:r>
        <w:rPr>
          <w:rFonts w:ascii="Georgia" w:hAnsi="Georgia"/>
        </w:rPr>
        <w:t xml:space="preserve"> для использования в работе медицинскими организациями в субъектах Российской Федерации, включая отделения медицинской помощи </w:t>
      </w:r>
      <w:proofErr w:type="gramStart"/>
      <w:r>
        <w:rPr>
          <w:rFonts w:ascii="Georgia" w:hAnsi="Georgia"/>
        </w:rPr>
        <w:t>обучающимся</w:t>
      </w:r>
      <w:proofErr w:type="gramEnd"/>
      <w:r>
        <w:rPr>
          <w:rFonts w:ascii="Georgia" w:hAnsi="Georgia"/>
        </w:rPr>
        <w:t xml:space="preserve"> в образовательных организациях.</w:t>
      </w:r>
    </w:p>
    <w:p w:rsidR="00CC0199" w:rsidRDefault="00CC0199" w:rsidP="00CC0199">
      <w:pPr>
        <w:spacing w:after="223"/>
      </w:pPr>
      <w:proofErr w:type="spellStart"/>
      <w:r>
        <w:rPr>
          <w:rFonts w:ascii="Georgia" w:hAnsi="Georgia"/>
        </w:rPr>
        <w:t>О.В.Гриднев</w:t>
      </w:r>
      <w:proofErr w:type="spellEnd"/>
      <w:r>
        <w:rPr>
          <w:rFonts w:ascii="Georgia" w:hAnsi="Georgia"/>
        </w:rPr>
        <w:t xml:space="preserve"> </w:t>
      </w:r>
    </w:p>
    <w:p w:rsidR="00CC0199" w:rsidRDefault="00CC0199" w:rsidP="00CC0199">
      <w:pPr>
        <w:pStyle w:val="align-right"/>
      </w:pPr>
      <w:r>
        <w:rPr>
          <w:rFonts w:ascii="Georgia" w:hAnsi="Georgia"/>
        </w:rPr>
        <w:t xml:space="preserve">Приложение </w:t>
      </w:r>
    </w:p>
    <w:p w:rsidR="00CC0199" w:rsidRDefault="00CC0199" w:rsidP="00CC0199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Министерство здравоохранения Российской Федерации НАУЧНО-ИССЛЕДОВАТЕЛЬСКИЙ ИНСТИТУТ ПЕДИАТРИИ И ОХРАНЫ ЗДОРОВЬЯ ДЕТЕЙ ФГБНУЗ ЦКБ РАН</w:t>
      </w:r>
    </w:p>
    <w:p w:rsidR="00CC0199" w:rsidRDefault="00CC0199" w:rsidP="00CC019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ФГБУ "ДЕТСКИЙ НАУЧНЫЙ КЛИНИЧЕСКИЙ ЦЕНТР ИНФЕКЦИОННЫХ БОЛЕЗНЕЙ" ФМБА РОССИИ </w:t>
      </w:r>
    </w:p>
    <w:p w:rsidR="00CC0199" w:rsidRDefault="00CC0199" w:rsidP="00CC019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Методические рекомендации по проведению профилактических прививок в соответствии с </w:t>
      </w:r>
      <w:hyperlink r:id="rId7" w:anchor="/document/99/727605537/XA00M5U2N0/" w:history="1">
        <w:r>
          <w:rPr>
            <w:rStyle w:val="a3"/>
            <w:rFonts w:ascii="Georgia" w:hAnsi="Georgia"/>
          </w:rPr>
          <w:t>приказом Минздрава России от 6 декабря 2021 г.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  </w:r>
      </w:hyperlink>
    </w:p>
    <w:p w:rsidR="00CC0199" w:rsidRDefault="00CC0199" w:rsidP="00CC019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</w:t>
      </w:r>
    </w:p>
    <w:p w:rsidR="00CC0199" w:rsidRDefault="00CC0199" w:rsidP="00CC0199">
      <w:pPr>
        <w:spacing w:after="223"/>
        <w:jc w:val="both"/>
      </w:pPr>
      <w:hyperlink r:id="rId8" w:anchor="/document/99/727605537/XA00M5U2N0/" w:history="1">
        <w:r>
          <w:rPr>
            <w:rStyle w:val="a3"/>
            <w:rFonts w:ascii="Georgia" w:hAnsi="Georgia"/>
          </w:rPr>
          <w:t>Приказ Минздрава России от 6 декабря 2021 г.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  </w:r>
      </w:hyperlink>
      <w:r>
        <w:rPr>
          <w:rFonts w:ascii="Georgia" w:hAnsi="Georgia"/>
        </w:rPr>
        <w:t xml:space="preserve"> (далее соответственно - </w:t>
      </w:r>
      <w:hyperlink r:id="rId9" w:anchor="/document/99/727605537/XA00M6G2N3/" w:history="1">
        <w:r>
          <w:rPr>
            <w:rStyle w:val="a3"/>
            <w:rFonts w:ascii="Georgia" w:hAnsi="Georgia"/>
          </w:rPr>
          <w:t xml:space="preserve">приказ № </w:t>
        </w:r>
        <w:r>
          <w:rPr>
            <w:rStyle w:val="a3"/>
            <w:rFonts w:ascii="Georgia" w:hAnsi="Georgia"/>
          </w:rPr>
          <w:lastRenderedPageBreak/>
          <w:t>1122н</w:t>
        </w:r>
      </w:hyperlink>
      <w:r>
        <w:rPr>
          <w:rFonts w:ascii="Georgia" w:hAnsi="Georgia"/>
        </w:rPr>
        <w:t xml:space="preserve">, </w:t>
      </w:r>
      <w:hyperlink r:id="rId10" w:anchor="/document/99/727605537/XA00LUO2M6/" w:history="1">
        <w:r>
          <w:rPr>
            <w:rStyle w:val="a3"/>
            <w:rFonts w:ascii="Georgia" w:hAnsi="Georgia"/>
          </w:rPr>
          <w:t>Национальный календарь</w:t>
        </w:r>
      </w:hyperlink>
      <w:r>
        <w:rPr>
          <w:rFonts w:ascii="Georgia" w:hAnsi="Georgia"/>
        </w:rPr>
        <w:t xml:space="preserve">, </w:t>
      </w:r>
      <w:hyperlink r:id="rId11" w:anchor="/document/99/727605537/XA00LVS2MC/" w:history="1">
        <w:r>
          <w:rPr>
            <w:rStyle w:val="a3"/>
            <w:rFonts w:ascii="Georgia" w:hAnsi="Georgia"/>
          </w:rPr>
          <w:t>Порядок</w:t>
        </w:r>
      </w:hyperlink>
      <w:r>
        <w:rPr>
          <w:rFonts w:ascii="Georgia" w:hAnsi="Georgia"/>
        </w:rPr>
        <w:t>) зарегистрирован в Минюсте России 20 декабря 2021 г., регистрационный № 66435, вступил в действие 31 декабря 2021 г.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Нормативный документ опубликован 20 декабря 2021 г. и доступен на </w:t>
      </w:r>
      <w:proofErr w:type="gramStart"/>
      <w:r>
        <w:rPr>
          <w:rFonts w:ascii="Georgia" w:hAnsi="Georgia"/>
        </w:rPr>
        <w:t>официальном</w:t>
      </w:r>
      <w:proofErr w:type="gramEnd"/>
      <w:r>
        <w:rPr>
          <w:rFonts w:ascii="Georgia" w:hAnsi="Georgia"/>
        </w:rPr>
        <w:t xml:space="preserve"> интернет-портале правовой информации http://publication.pravo.gov.ru/Document/View/0001202112200070.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Ключевые изменения Национального календаря (</w:t>
      </w:r>
      <w:hyperlink r:id="rId12" w:anchor="/document/99/727605537/XA00LUO2M6/" w:history="1">
        <w:r>
          <w:rPr>
            <w:rStyle w:val="a3"/>
            <w:rFonts w:ascii="Georgia" w:hAnsi="Georgia"/>
          </w:rPr>
          <w:t>приложение № 1 к приказу № 1122н</w:t>
        </w:r>
      </w:hyperlink>
      <w:r>
        <w:rPr>
          <w:rFonts w:ascii="Georgia" w:hAnsi="Georgia"/>
        </w:rPr>
        <w:t>) касаются следующих вопросов: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вакцинация против гемофильной инфекции типа b (далее -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>) проводится всем детям раннего возраста в когортах 3-4,5-6 мес. и 18 мес. жизни;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первая, вторая, третья вакцинация (V1, V2, V3) и первая ревакцинация (1RV) против полиомиелита проводятся вакциной для профилактики полиомиелита (инактивированной) (далее - ИПВ) всем детям раннего возраста в когортах 3-4,5-6 мес. и 18 мес. жизни;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вторая ревакцинация (2RV) против полиомиелита, как и ранее, проводится в 20 мес.;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третья ревакцинация (3RV) против полиомиелита перенесена с возраста 14 лет на 6 лет и проводится общецелевой когорте детей вакциной для профилактики полиомиелита (оральной) (далее - ОПВ), а детям из группы риска, согласно </w:t>
      </w:r>
      <w:hyperlink r:id="rId13" w:anchor="/document/99/727605537/XA00LVS2MC/" w:history="1">
        <w:r>
          <w:rPr>
            <w:rStyle w:val="a3"/>
            <w:rFonts w:ascii="Georgia" w:hAnsi="Georgia"/>
          </w:rPr>
          <w:t>Порядку к приказу № 1122н</w:t>
        </w:r>
      </w:hyperlink>
      <w:r>
        <w:rPr>
          <w:rFonts w:ascii="Georgia" w:hAnsi="Georgia"/>
        </w:rPr>
        <w:t>, вакциной ИПВ.</w:t>
      </w:r>
    </w:p>
    <w:p w:rsidR="00CC0199" w:rsidRDefault="00CC0199" w:rsidP="00CC0199">
      <w:pPr>
        <w:spacing w:after="223"/>
        <w:jc w:val="both"/>
      </w:pPr>
      <w:proofErr w:type="gramStart"/>
      <w:r>
        <w:rPr>
          <w:rFonts w:ascii="Georgia" w:hAnsi="Georgia"/>
        </w:rPr>
        <w:t>В календаре профилактических прививок по эпидемическим показаниям (</w:t>
      </w:r>
      <w:hyperlink r:id="rId14" w:anchor="/document/99/727605537/XA00LVA2M9/" w:history="1">
        <w:r>
          <w:rPr>
            <w:rStyle w:val="a3"/>
            <w:rFonts w:ascii="Georgia" w:hAnsi="Georgia"/>
          </w:rPr>
          <w:t>приложение № 2 к приказу № 1122н</w:t>
        </w:r>
      </w:hyperlink>
      <w:r>
        <w:rPr>
          <w:rFonts w:ascii="Georgia" w:hAnsi="Georgia"/>
        </w:rPr>
        <w:t xml:space="preserve">) перечень когорт, подлежащих вакцинации против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инфекции, вызываемой вирусом SARS-CoV-2, расширен за счет детей 12-17 лет (включительно) с дополнением добровольного ее проведения при наличии письменного заявления одного из родителей (или законного представителя), составленного в произвольной форме, дополнительно к подписываемому родителем (или законным представителем) детей до 14 лет и</w:t>
      </w:r>
      <w:proofErr w:type="gramEnd"/>
      <w:r>
        <w:rPr>
          <w:rFonts w:ascii="Georgia" w:hAnsi="Georgia"/>
        </w:rPr>
        <w:t>/или самим подростком 15-17 лет добровольному информированному согласию на медицинское вмешательство.</w:t>
      </w:r>
    </w:p>
    <w:p w:rsidR="00CC0199" w:rsidRDefault="00CC0199" w:rsidP="00CC0199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Частные положения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1. Первичный курс вакцинации (V1, V2, V3) и ревакцинации (1RV) против коклюша, дифтерии, столбняка, полиомиелита и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>-инфекции может проводиться как в составе пятивалентной комбинированной вакцины, так и в сочетании с любыми моновакцинами, которые могут осуществить формирование поствакцинального иммунитета против соответствующих антигенов.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При продолжении вакцинации и ревакцинации возможна замена комбинированных вакцин на использование моновакцин или одновременное сочетание моновакцин, при этом с соблюдением схем, интервалов, предусмотренных </w:t>
      </w:r>
      <w:hyperlink r:id="rId15" w:anchor="/document/99/727605537/XA00LUO2M6/" w:history="1">
        <w:r>
          <w:rPr>
            <w:rStyle w:val="a3"/>
            <w:rFonts w:ascii="Georgia" w:hAnsi="Georgia"/>
          </w:rPr>
          <w:t>Национальным календарем</w:t>
        </w:r>
      </w:hyperlink>
      <w:r>
        <w:rPr>
          <w:rFonts w:ascii="Georgia" w:hAnsi="Georgia"/>
        </w:rPr>
        <w:t xml:space="preserve"> и в соответствии с инструкциями по применению иммунобиологических лекарственных препаратов для </w:t>
      </w:r>
      <w:proofErr w:type="spellStart"/>
      <w:r>
        <w:rPr>
          <w:rFonts w:ascii="Georgia" w:hAnsi="Georgia"/>
        </w:rPr>
        <w:t>имммунопрофилактики</w:t>
      </w:r>
      <w:proofErr w:type="spellEnd"/>
      <w:r>
        <w:rPr>
          <w:rFonts w:ascii="Georgia" w:hAnsi="Georgia"/>
        </w:rPr>
        <w:t>. Таким образом, дети, ранее получавшие вакцину для профилактики коклюша, дифтерии, столбняка (далее - АКДС), могут продолжать вакцинацию и ревакцинацию пятикомпонентной комбинированной вакциной (АКДС/ИПВ/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 xml:space="preserve">) в соответствующие сроки и, наоборот. При этом следует учитывать противопоказания и ограничения применения </w:t>
      </w:r>
      <w:proofErr w:type="spellStart"/>
      <w:r>
        <w:rPr>
          <w:rFonts w:ascii="Georgia" w:hAnsi="Georgia"/>
        </w:rPr>
        <w:t>цельноклеточных</w:t>
      </w:r>
      <w:proofErr w:type="spellEnd"/>
      <w:r>
        <w:rPr>
          <w:rFonts w:ascii="Georgia" w:hAnsi="Georgia"/>
        </w:rPr>
        <w:t xml:space="preserve"> коклюшных вакцин у отдельных категорий пациентов.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lastRenderedPageBreak/>
        <w:t xml:space="preserve">В отношении детей, рожденных после 1 июля 2020 г., иммунизация которых была начата в соответствии с предшествующим </w:t>
      </w:r>
      <w:hyperlink r:id="rId16" w:anchor="/document/99/727605537/XA00LUO2M6/" w:history="1">
        <w:r>
          <w:rPr>
            <w:rStyle w:val="a3"/>
            <w:rFonts w:ascii="Georgia" w:hAnsi="Georgia"/>
          </w:rPr>
          <w:t>Национальным календарем</w:t>
        </w:r>
      </w:hyperlink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возможно</w:t>
      </w:r>
      <w:proofErr w:type="gramEnd"/>
      <w:r>
        <w:rPr>
          <w:rFonts w:ascii="Georgia" w:hAnsi="Georgia"/>
        </w:rPr>
        <w:t xml:space="preserve"> использовать варианты вакцинации: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дети из группы риска, привитые в 2021 году пятивалентной комбинированной вакциной, продолжат вакцинацию данной вакциной, как это было предусмотрено действовавшим до 6 декабря 2021 г. </w:t>
      </w:r>
      <w:hyperlink r:id="rId17" w:anchor="/document/99/727605537/XA00LUO2M6/" w:history="1">
        <w:r>
          <w:rPr>
            <w:rStyle w:val="a3"/>
            <w:rFonts w:ascii="Georgia" w:hAnsi="Georgia"/>
          </w:rPr>
          <w:t>Национальным календарем</w:t>
        </w:r>
      </w:hyperlink>
      <w:r>
        <w:rPr>
          <w:rFonts w:ascii="Georgia" w:hAnsi="Georgia"/>
        </w:rPr>
        <w:t>;</w:t>
      </w:r>
    </w:p>
    <w:p w:rsidR="00CC0199" w:rsidRDefault="00CC0199" w:rsidP="00CC0199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дети, не входящие в группу риска, получившие только два введения АКДС + ИПВ, могут быть привиты в 2022 г. в возрасте 6 месяцев, как АКДС + ИПВ +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>-вакцина, так и пятивалентной вакциной, с последующей ревакцинацией в 18 месяцев также пятивалентной комбинированной вакциной, в 20 месяцев проводится вторая ревакцинация против полиомиелита (2RV), в 6 лет - третья ревакцинация против полиомиелита (3RV) вакциной ОПВ;</w:t>
      </w:r>
      <w:proofErr w:type="gramEnd"/>
    </w:p>
    <w:p w:rsidR="00CC0199" w:rsidRDefault="00CC0199" w:rsidP="00CC0199">
      <w:pPr>
        <w:spacing w:after="223"/>
        <w:jc w:val="both"/>
      </w:pPr>
      <w:proofErr w:type="gramStart"/>
      <w:r>
        <w:rPr>
          <w:rFonts w:ascii="Georgia" w:hAnsi="Georgia"/>
        </w:rPr>
        <w:t xml:space="preserve">дети, не входящие в группу риска, привитые вакцинами АКДС и ИПВ в 3-4,5 месяца и вакцинами АКДС + ОПВ в 6 месяцев, могут в 2022 году получить ревакцинацию в 18 месяцев как вакцинами АКДС + ИПВ +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>-вакцина, так и пятивалентной комбинированной вакциной (получив при этом законченную вакцинацию против гемофильной инфекции типа b), затем в 20 мес. проводится вторая ревакцинация против полиомиелита (2RV</w:t>
      </w:r>
      <w:proofErr w:type="gramEnd"/>
      <w:r>
        <w:rPr>
          <w:rFonts w:ascii="Georgia" w:hAnsi="Georgia"/>
        </w:rPr>
        <w:t>) вакциной ОПВ, в 6 лет - третья ревакцинация против полиомиелита (3RV) вакциной ОП.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Необходимое количество доз вакцины против гемофильной инфекции, в </w:t>
      </w:r>
      <w:proofErr w:type="gramStart"/>
      <w:r>
        <w:rPr>
          <w:rFonts w:ascii="Georgia" w:hAnsi="Georgia"/>
        </w:rPr>
        <w:t>составе</w:t>
      </w:r>
      <w:proofErr w:type="gramEnd"/>
      <w:r>
        <w:rPr>
          <w:rFonts w:ascii="Georgia" w:hAnsi="Georgia"/>
        </w:rPr>
        <w:t xml:space="preserve"> как моновакцины, так и пятивалентной комбинированной вакцины, должно предусматриваться по "догоняющей" схеме с учетом возраста (см. таблицу в </w:t>
      </w:r>
      <w:hyperlink r:id="rId18" w:anchor="/document/99/728082347/XA00M262MM/" w:tgtFrame="_self" w:history="1">
        <w:r>
          <w:rPr>
            <w:rStyle w:val="a3"/>
            <w:rFonts w:ascii="Georgia" w:hAnsi="Georgia"/>
          </w:rPr>
          <w:t>пункте 3 настоящих рекомендаций</w:t>
        </w:r>
      </w:hyperlink>
      <w:r>
        <w:rPr>
          <w:rFonts w:ascii="Georgia" w:hAnsi="Georgia"/>
        </w:rPr>
        <w:t>).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Во всех случаях нарушения графика вакцинации ребенок должен получить все необходимые для данного возраста прививки с соответствующей кратностью, для этого врач должен руководствоваться инструкцией по применению лекарственного препарата и утвержденным </w:t>
      </w:r>
      <w:hyperlink r:id="rId19" w:anchor="/document/99/727605537/XA00M6G2N3/" w:history="1">
        <w:r>
          <w:rPr>
            <w:rStyle w:val="a3"/>
            <w:rFonts w:ascii="Georgia" w:hAnsi="Georgia"/>
          </w:rPr>
          <w:t>приказом № 1122н</w:t>
        </w:r>
      </w:hyperlink>
      <w:hyperlink r:id="rId20" w:anchor="/document/99/727605537/XA00LVS2MC/" w:history="1">
        <w:proofErr w:type="gramStart"/>
        <w:r>
          <w:rPr>
            <w:rStyle w:val="a3"/>
            <w:rFonts w:ascii="Georgia" w:hAnsi="Georgia"/>
          </w:rPr>
          <w:t>Порядко</w:t>
        </w:r>
      </w:hyperlink>
      <w:r>
        <w:rPr>
          <w:rFonts w:ascii="Georgia" w:hAnsi="Georgia"/>
        </w:rPr>
        <w:t>м</w:t>
      </w:r>
      <w:proofErr w:type="gramEnd"/>
      <w:r>
        <w:rPr>
          <w:rFonts w:ascii="Georgia" w:hAnsi="Georgia"/>
        </w:rPr>
        <w:t>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2. Вторая ревакцинация (2RV) против полиомиелита проводится в возрасте 20 месяцев жизни. Третья ревакцинация против полиомиелита (3RV) всех детей перенесена с возраста 14 лет на 6 лет.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Проведение ревакцинации против полиомиелита в возрасте старше 6 лет (7, 8, 9, 10, 11, 12, 13, 14 лет) не требуется.</w:t>
      </w:r>
    </w:p>
    <w:p w:rsidR="00CC0199" w:rsidRDefault="00CC0199" w:rsidP="00CC0199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При этом дети общецелевой группы ревакцинируются с использованием вакцины ОПВ, а дети, относящиеся к группам риска (болезни нервной системы, </w:t>
      </w:r>
      <w:proofErr w:type="spellStart"/>
      <w:r>
        <w:rPr>
          <w:rFonts w:ascii="Georgia" w:hAnsi="Georgia"/>
        </w:rPr>
        <w:t>иммунодефицитные</w:t>
      </w:r>
      <w:proofErr w:type="spellEnd"/>
      <w:r>
        <w:rPr>
          <w:rFonts w:ascii="Georgia" w:hAnsi="Georgia"/>
        </w:rPr>
        <w:t xml:space="preserve"> состояния, с аномалиями развития кишечника, с онкологическими заболеваниями и/или длительно получающие </w:t>
      </w:r>
      <w:proofErr w:type="spellStart"/>
      <w:r>
        <w:rPr>
          <w:rFonts w:ascii="Georgia" w:hAnsi="Georgia"/>
        </w:rPr>
        <w:t>иммуносупрессивную</w:t>
      </w:r>
      <w:proofErr w:type="spellEnd"/>
      <w:r>
        <w:rPr>
          <w:rFonts w:ascii="Georgia" w:hAnsi="Georgia"/>
        </w:rPr>
        <w:t xml:space="preserve"> терапию, дети, рожденные от матерей с ВИЧ-инфекцией, маловесные и недоношенные дети, дети, находящиеся в домах ребенка), в соответствии с </w:t>
      </w:r>
      <w:hyperlink r:id="rId21" w:anchor="/document/99/727605537/XA00LVS2MC/" w:history="1">
        <w:r>
          <w:rPr>
            <w:rStyle w:val="a3"/>
            <w:rFonts w:ascii="Georgia" w:hAnsi="Georgia"/>
          </w:rPr>
          <w:t>Порядком</w:t>
        </w:r>
      </w:hyperlink>
      <w:r>
        <w:rPr>
          <w:rFonts w:ascii="Georgia" w:hAnsi="Georgia"/>
        </w:rPr>
        <w:t xml:space="preserve">, утвержденным </w:t>
      </w:r>
      <w:hyperlink r:id="rId22" w:anchor="/document/99/727605537/XA00M6G2N3/" w:history="1">
        <w:r>
          <w:rPr>
            <w:rStyle w:val="a3"/>
            <w:rFonts w:ascii="Georgia" w:hAnsi="Georgia"/>
          </w:rPr>
          <w:t>приказом № 1122н</w:t>
        </w:r>
      </w:hyperlink>
      <w:r>
        <w:rPr>
          <w:rFonts w:ascii="Georgia" w:hAnsi="Georgia"/>
        </w:rPr>
        <w:t>, подлежат ревакцинации вакциной ИПВ.</w:t>
      </w:r>
      <w:proofErr w:type="gramEnd"/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Детям с нарушенным графиком вакцинации против полиомиелита, рожденным до 1 июля 2020 г., в рамках догоняющей иммунизации должно быть выполнено минимум 5 доз любого комплекса перечисленных вакцин: 2ИПВ+3ОПВ (детям общецелевой группы) или 5ИПВ (детям из группы риска), в соответствии с интервалами, предусмотренными </w:t>
      </w:r>
      <w:hyperlink r:id="rId23" w:anchor="/document/99/727605537/XA00M6G2N3/" w:history="1">
        <w:r>
          <w:rPr>
            <w:rStyle w:val="a3"/>
            <w:rFonts w:ascii="Georgia" w:hAnsi="Georgia"/>
          </w:rPr>
          <w:t>Приказом № 1122н</w:t>
        </w:r>
      </w:hyperlink>
      <w:r>
        <w:rPr>
          <w:rFonts w:ascii="Georgia" w:hAnsi="Georgia"/>
        </w:rPr>
        <w:t>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lastRenderedPageBreak/>
        <w:t xml:space="preserve">3. Если, в соответствии с предыдущей версией </w:t>
      </w:r>
      <w:hyperlink r:id="rId24" w:anchor="/document/99/727605537/XA00LUO2M6/" w:history="1">
        <w:r>
          <w:rPr>
            <w:rStyle w:val="a3"/>
            <w:rFonts w:ascii="Georgia" w:hAnsi="Georgia"/>
          </w:rPr>
          <w:t>Национального календаря</w:t>
        </w:r>
      </w:hyperlink>
      <w:r>
        <w:rPr>
          <w:rFonts w:ascii="Georgia" w:hAnsi="Georgia"/>
        </w:rPr>
        <w:t xml:space="preserve">, дети, рожденные после 1 июля 2020 г., не получали прививок против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 xml:space="preserve">-инфекции, в том числе по причине несоблюдения графика вакцинации в соответствии с </w:t>
      </w:r>
      <w:hyperlink r:id="rId25" w:anchor="/document/99/727605537/XA00LUO2M6/" w:history="1">
        <w:r>
          <w:rPr>
            <w:rStyle w:val="a3"/>
            <w:rFonts w:ascii="Georgia" w:hAnsi="Georgia"/>
          </w:rPr>
          <w:t>Национальным календарем</w:t>
        </w:r>
      </w:hyperlink>
      <w:r>
        <w:rPr>
          <w:rFonts w:ascii="Georgia" w:hAnsi="Georgia"/>
        </w:rPr>
        <w:t>, то они должны быть привиты по "догоняющей" схеме с учетом возраста. При этом может применяться как моновакцина против гемофильной инфекции, так и пятивалентная комбинированная вакцина (одновременно с вакцинацией/ревакцинацией против дифтерии, столбняка, коклюша и полиомиелита).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При введении первой дозы вакцины против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>-инфекции до возраста 6 месяцев дети до года прививаются трехкратно. При начале иммунизации во втором полугодии жизни (в возрасте от 6 до 12 месяцев) рекомендована двукратная вакцинация с минимальным интервалом 1 месяц. Ревакцинация осуществляется в обоих случаях в 18 месяцев, но не ранее, чем через 6 месяцев после 3(2) введения вакцины (V3, V2).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Детям с нарушенным графиком прививок, рожденным после 1 июля 2021 г., не привитым ранее против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 xml:space="preserve">-инфекции, в возрасте старше 1 года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>-вакцину вводят однократно.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При использовании пятивалентной комбинированной вакцины "догоняющая" вакцинация против гемофильной инфекции проводится следующим образом.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При нарушении графика вакцинации последующие интервалы между введением очередной дозы вакцины не изменяются, в том числе интервал перед четвертой (ревакцинирующей) дозой - 12 месяцев. При введении первой дозы в возрасте 6-12 месяцев (см. таблицу) вторая доза вводится через 1-1,5 месяца, а в качестве третьей дозы, вводимой через 1-1,5 месяца, применяется только вакцина для профилактики коклюша, дифтерии, столбняка и полиомиелита, без разведения </w:t>
      </w:r>
      <w:proofErr w:type="spellStart"/>
      <w:r>
        <w:rPr>
          <w:rFonts w:ascii="Georgia" w:hAnsi="Georgia"/>
        </w:rPr>
        <w:t>лиофилизата</w:t>
      </w:r>
      <w:proofErr w:type="spellEnd"/>
      <w:r>
        <w:rPr>
          <w:rFonts w:ascii="Georgia" w:hAnsi="Georgia"/>
        </w:rPr>
        <w:t xml:space="preserve"> во флаконе с вакциной против гемофильной инфекции типа b. В качестве ревакцинирующей дозы используется обычная доза с разведением </w:t>
      </w:r>
      <w:proofErr w:type="spellStart"/>
      <w:r>
        <w:rPr>
          <w:rFonts w:ascii="Georgia" w:hAnsi="Georgia"/>
        </w:rPr>
        <w:t>лиофилизата</w:t>
      </w:r>
      <w:proofErr w:type="spellEnd"/>
      <w:r>
        <w:rPr>
          <w:rFonts w:ascii="Georgia" w:hAnsi="Georgia"/>
        </w:rPr>
        <w:t xml:space="preserve">. При введении первой дозы полностью разведенной вакцины в возрасте 13 месяцев и старше вторая, третья и ревакцинирующая дозы используются без разведения </w:t>
      </w:r>
      <w:proofErr w:type="spellStart"/>
      <w:r>
        <w:rPr>
          <w:rFonts w:ascii="Georgia" w:hAnsi="Georgia"/>
        </w:rPr>
        <w:t>лиофилизата</w:t>
      </w:r>
      <w:proofErr w:type="spellEnd"/>
      <w:r>
        <w:rPr>
          <w:rFonts w:ascii="Georgia" w:hAnsi="Georgia"/>
        </w:rPr>
        <w:t xml:space="preserve"> во флаконе с вакциной против гемофильной инфекции типа b.</w:t>
      </w:r>
    </w:p>
    <w:p w:rsidR="00CC0199" w:rsidRDefault="00CC0199" w:rsidP="00CC019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Таблица. Схемы введения </w:t>
      </w:r>
      <w:proofErr w:type="spellStart"/>
      <w:r>
        <w:rPr>
          <w:rFonts w:ascii="Georgia" w:hAnsi="Georgia"/>
        </w:rPr>
        <w:t>Hib</w:t>
      </w:r>
      <w:proofErr w:type="spellEnd"/>
      <w:r>
        <w:rPr>
          <w:rFonts w:ascii="Georgia" w:hAnsi="Georgia"/>
        </w:rPr>
        <w:t xml:space="preserve">-компонента в составе пятивалентной комбинированной вакцины в зависимости от возраста начала иммунизации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31"/>
        <w:gridCol w:w="1967"/>
        <w:gridCol w:w="2200"/>
        <w:gridCol w:w="2257"/>
      </w:tblGrid>
      <w:tr w:rsidR="00CC0199" w:rsidTr="00992E3C">
        <w:tc>
          <w:tcPr>
            <w:tcW w:w="3881" w:type="dxa"/>
            <w:vAlign w:val="center"/>
            <w:hideMark/>
          </w:tcPr>
          <w:p w:rsidR="00CC0199" w:rsidRDefault="00CC0199" w:rsidP="00992E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CC0199" w:rsidRDefault="00CC0199" w:rsidP="00992E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CC0199" w:rsidRDefault="00CC0199" w:rsidP="00992E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CC0199" w:rsidRDefault="00CC0199" w:rsidP="00992E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0199" w:rsidTr="00992E3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При введении первой </w:t>
            </w:r>
            <w:proofErr w:type="spellStart"/>
            <w:r>
              <w:t>Hib</w:t>
            </w:r>
            <w:proofErr w:type="spellEnd"/>
            <w:r>
              <w:t xml:space="preserve">-прививки в составе комбинированной пятивалентной вакцины </w:t>
            </w:r>
            <w:proofErr w:type="gramStart"/>
            <w:r>
              <w:t>введена</w:t>
            </w:r>
            <w:proofErr w:type="gramEnd"/>
            <w:r>
              <w:t xml:space="preserve"> в возрасте: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>Вторая прививка (через 1-1,5 мес.)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>Третья прививка</w:t>
            </w:r>
            <w:r>
              <w:br/>
              <w:t>(через 1-1,5 мес.)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>Ревакцинация</w:t>
            </w:r>
            <w:r>
              <w:br/>
              <w:t>(через 6-12 мес.)</w:t>
            </w:r>
          </w:p>
        </w:tc>
      </w:tr>
      <w:tr w:rsidR="00CC0199" w:rsidTr="00992E3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до 6 месяцев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Вводится </w:t>
            </w:r>
            <w:proofErr w:type="spellStart"/>
            <w:r>
              <w:t>Hib</w:t>
            </w:r>
            <w:proofErr w:type="spellEnd"/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Вводится </w:t>
            </w:r>
            <w:proofErr w:type="spellStart"/>
            <w:r>
              <w:t>Hib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Вводится </w:t>
            </w:r>
            <w:proofErr w:type="spellStart"/>
            <w:r>
              <w:t>Hib</w:t>
            </w:r>
            <w:proofErr w:type="spellEnd"/>
            <w:r>
              <w:t xml:space="preserve"> </w:t>
            </w:r>
          </w:p>
        </w:tc>
      </w:tr>
      <w:tr w:rsidR="00CC0199" w:rsidTr="00992E3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>6-12 месяцев вкл.*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Вводится </w:t>
            </w:r>
            <w:proofErr w:type="spellStart"/>
            <w:r>
              <w:t>Hib</w:t>
            </w:r>
            <w:proofErr w:type="spellEnd"/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Не вводится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Вводится </w:t>
            </w:r>
            <w:proofErr w:type="spellStart"/>
            <w:r>
              <w:t>Hib</w:t>
            </w:r>
            <w:proofErr w:type="spellEnd"/>
            <w:r>
              <w:t>*</w:t>
            </w:r>
          </w:p>
        </w:tc>
      </w:tr>
      <w:tr w:rsidR="00CC0199" w:rsidTr="00992E3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13 месяцев и старше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Не вводится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Не вводится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C0199" w:rsidRDefault="00CC0199" w:rsidP="00992E3C">
            <w:pPr>
              <w:pStyle w:val="align-center"/>
            </w:pPr>
            <w:r>
              <w:t xml:space="preserve">Не вводится </w:t>
            </w:r>
          </w:p>
        </w:tc>
      </w:tr>
    </w:tbl>
    <w:p w:rsidR="00CC0199" w:rsidRDefault="00CC0199" w:rsidP="00CC0199">
      <w:pPr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Данная схема применяется, если ребенок получил 2 дозы </w:t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Hib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-вакцины до 13 месяцев. Если ребенок получил вторую дозу </w:t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Hib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>-вакцину в возрасте 13 месяцев и старше, то ревакцинация не требуется.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4. При нарушении графика первичной вакцинации против пневмококковой инфекции минимальный интервал при вакцинации детей до 6 месяцев жизни составляет не менее 8 недель; при вакцинации детей в возрасте 7-12 месяцев - не менее 4 недель. Ревакцинацию рекомендуется проводить не ранее чем через 4-6 месяцев после последней прививки курса первичной вакцинации. При начале вакцинации в 12 месяцев и старше вакцинация проводится двукратно с минимальным интервалом 8 недель. Впервые привитые дети в 2 года и старше получают одну дозу вакцины.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5. Одновременным считается введение вакцин в пределах одного календарного дня. Одновременно может вводиться неограниченное количество вакцин (кроме BCG) с использованием разных шприцов и в разные анатомические области тела. Особенности переносимости и эффективности при одновременном введении конкретных вакцин указаны в инструкциях по их применению.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Прерванный цикл прививок не требует повторения предыдущих доз, вакцинация продолжается в соответствии с числом доз вакцины, необходимых ребенку на данный возраст.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При изменении возрастных сроков вакцинации ("догоняющая" вакцинация) ее проводят по схемам, предусмотренным </w:t>
      </w:r>
      <w:hyperlink r:id="rId26" w:anchor="/document/99/727605537/XA00LUO2M6/" w:history="1">
        <w:r>
          <w:rPr>
            <w:rStyle w:val="a3"/>
            <w:rFonts w:ascii="Georgia" w:hAnsi="Georgia"/>
          </w:rPr>
          <w:t>Национальным календарем</w:t>
        </w:r>
      </w:hyperlink>
      <w:r>
        <w:rPr>
          <w:rFonts w:ascii="Georgia" w:hAnsi="Georgia"/>
        </w:rPr>
        <w:t xml:space="preserve"> и в соответствии с инструкциями по применению вакцин.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Для вакцин, имеющих один и тот же антигенный состав, интервал в рамках первичного комплекса прививок должен составлять минимум 4 недели (1 месяц).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Вместе с тем, в настоящее время в соответствии с международной практикой, допускается введение неживых вакцин с любым интервалом между собой, при введении живых вакцин рекомендуется интервал 1 месяц, между живой и неживой вакцинами, также допустим любой интервал.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Интервал до и после введения вакцин против туберкулеза от введения других вакцин составляет 1 месяц (за исключением вакцинации новорожденных в роддоме против туберкулеза и вирусного гепатита В).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6. При отсутствии вакцинации против туберкулеза в родильном доме она может быть проведена младенцам до 2 месяцев жизни при отсутствии противопоказаний, далее только </w:t>
      </w:r>
      <w:proofErr w:type="spellStart"/>
      <w:r>
        <w:rPr>
          <w:rFonts w:ascii="Georgia" w:hAnsi="Georgia"/>
        </w:rPr>
        <w:t>туберкулинотрицательным</w:t>
      </w:r>
      <w:proofErr w:type="spellEnd"/>
      <w:r>
        <w:rPr>
          <w:rFonts w:ascii="Georgia" w:hAnsi="Georgia"/>
        </w:rPr>
        <w:t xml:space="preserve"> детям до 7 лет. При необходимости проведения ревакцинации против туберкулеза следует соблюдать минимальный интервал 5 лет и вводить не позже 7-летнего возраста (включительно).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7. Вторая и последующая ревакцинации против дифтерии и столбняка проводятся вакцинами с уменьшенным содержанием антигенов.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>8. Вакцинация против гепатита</w:t>
      </w:r>
      <w:proofErr w:type="gramStart"/>
      <w:r>
        <w:rPr>
          <w:rFonts w:ascii="Georgia" w:hAnsi="Georgia"/>
        </w:rPr>
        <w:t xml:space="preserve"> В</w:t>
      </w:r>
      <w:proofErr w:type="gramEnd"/>
      <w:r>
        <w:rPr>
          <w:rFonts w:ascii="Georgia" w:hAnsi="Georgia"/>
        </w:rPr>
        <w:t xml:space="preserve"> проводится детям и взрослым, ранее не привитым,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CC0199" w:rsidRDefault="00CC0199" w:rsidP="00CC0199">
      <w:pPr>
        <w:spacing w:after="223"/>
        <w:jc w:val="both"/>
      </w:pPr>
      <w:r>
        <w:rPr>
          <w:rFonts w:ascii="Georgia" w:hAnsi="Georgia"/>
        </w:rPr>
        <w:t xml:space="preserve">9. Вакцинация против кори, краснухи и паротита может проводиться с </w:t>
      </w:r>
      <w:proofErr w:type="gramStart"/>
      <w:r>
        <w:rPr>
          <w:rFonts w:ascii="Georgia" w:hAnsi="Georgia"/>
        </w:rPr>
        <w:t>использованием</w:t>
      </w:r>
      <w:proofErr w:type="gramEnd"/>
      <w:r>
        <w:rPr>
          <w:rFonts w:ascii="Georgia" w:hAnsi="Georgia"/>
        </w:rPr>
        <w:t xml:space="preserve"> как комбинированной трехкомпонентной вакцины, так и в сочетании моновакцин/дивакцины. При проведении первичной вакцинации против кори, краснухи, эпидемического паротита во взрослом возрасте или в </w:t>
      </w:r>
      <w:r>
        <w:rPr>
          <w:rFonts w:ascii="Georgia" w:hAnsi="Georgia"/>
        </w:rPr>
        <w:lastRenderedPageBreak/>
        <w:t>рамках догоняющей вакцинации детям 6 лет и старше минимальный интервал между первой и второй прививками должен составлять не менее 3 месяцев.</w:t>
      </w:r>
    </w:p>
    <w:p w:rsidR="008834F4" w:rsidRDefault="008834F4">
      <w:bookmarkStart w:id="0" w:name="_GoBack"/>
      <w:bookmarkEnd w:id="0"/>
    </w:p>
    <w:sectPr w:rsidR="0088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E6"/>
    <w:rsid w:val="003D58E6"/>
    <w:rsid w:val="008834F4"/>
    <w:rsid w:val="00C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1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19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0199"/>
    <w:rPr>
      <w:color w:val="0000FF"/>
      <w:u w:val="single"/>
    </w:rPr>
  </w:style>
  <w:style w:type="paragraph" w:customStyle="1" w:styleId="align-center">
    <w:name w:val="align-center"/>
    <w:basedOn w:val="a"/>
    <w:uiPriority w:val="99"/>
    <w:semiHidden/>
    <w:rsid w:val="00CC019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CC0199"/>
    <w:pPr>
      <w:spacing w:after="223"/>
      <w:jc w:val="right"/>
    </w:pPr>
  </w:style>
  <w:style w:type="character" w:customStyle="1" w:styleId="docsupplement-number">
    <w:name w:val="docsupplement-number"/>
    <w:basedOn w:val="a0"/>
    <w:rsid w:val="00CC0199"/>
  </w:style>
  <w:style w:type="character" w:customStyle="1" w:styleId="docsupplement-name">
    <w:name w:val="docsupplement-name"/>
    <w:basedOn w:val="a0"/>
    <w:rsid w:val="00CC0199"/>
  </w:style>
  <w:style w:type="character" w:customStyle="1" w:styleId="docuntyped-name">
    <w:name w:val="docuntyped-name"/>
    <w:basedOn w:val="a0"/>
    <w:rsid w:val="00CC0199"/>
  </w:style>
  <w:style w:type="character" w:customStyle="1" w:styleId="docnote-number">
    <w:name w:val="docnote-number"/>
    <w:basedOn w:val="a0"/>
    <w:rsid w:val="00CC0199"/>
  </w:style>
  <w:style w:type="character" w:customStyle="1" w:styleId="docnote-text">
    <w:name w:val="docnote-text"/>
    <w:basedOn w:val="a0"/>
    <w:rsid w:val="00CC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1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19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0199"/>
    <w:rPr>
      <w:color w:val="0000FF"/>
      <w:u w:val="single"/>
    </w:rPr>
  </w:style>
  <w:style w:type="paragraph" w:customStyle="1" w:styleId="align-center">
    <w:name w:val="align-center"/>
    <w:basedOn w:val="a"/>
    <w:uiPriority w:val="99"/>
    <w:semiHidden/>
    <w:rsid w:val="00CC019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CC0199"/>
    <w:pPr>
      <w:spacing w:after="223"/>
      <w:jc w:val="right"/>
    </w:pPr>
  </w:style>
  <w:style w:type="character" w:customStyle="1" w:styleId="docsupplement-number">
    <w:name w:val="docsupplement-number"/>
    <w:basedOn w:val="a0"/>
    <w:rsid w:val="00CC0199"/>
  </w:style>
  <w:style w:type="character" w:customStyle="1" w:styleId="docsupplement-name">
    <w:name w:val="docsupplement-name"/>
    <w:basedOn w:val="a0"/>
    <w:rsid w:val="00CC0199"/>
  </w:style>
  <w:style w:type="character" w:customStyle="1" w:styleId="docuntyped-name">
    <w:name w:val="docuntyped-name"/>
    <w:basedOn w:val="a0"/>
    <w:rsid w:val="00CC0199"/>
  </w:style>
  <w:style w:type="character" w:customStyle="1" w:styleId="docnote-number">
    <w:name w:val="docnote-number"/>
    <w:basedOn w:val="a0"/>
    <w:rsid w:val="00CC0199"/>
  </w:style>
  <w:style w:type="character" w:customStyle="1" w:styleId="docnote-text">
    <w:name w:val="docnote-text"/>
    <w:basedOn w:val="a0"/>
    <w:rsid w:val="00CC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2296</Words>
  <Characters>13090</Characters>
  <Application>Microsoft Office Word</Application>
  <DocSecurity>0</DocSecurity>
  <Lines>109</Lines>
  <Paragraphs>30</Paragraphs>
  <ScaleCrop>false</ScaleCrop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aist002</dc:creator>
  <cp:keywords/>
  <dc:description/>
  <cp:lastModifiedBy>aist002</cp:lastModifiedBy>
  <cp:revision>2</cp:revision>
  <dcterms:created xsi:type="dcterms:W3CDTF">2023-05-25T08:35:00Z</dcterms:created>
  <dcterms:modified xsi:type="dcterms:W3CDTF">2023-05-25T08:35:00Z</dcterms:modified>
</cp:coreProperties>
</file>